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06"/>
        <w:gridCol w:w="282"/>
        <w:gridCol w:w="292"/>
        <w:gridCol w:w="168"/>
        <w:gridCol w:w="1416"/>
        <w:gridCol w:w="154"/>
        <w:gridCol w:w="2203"/>
        <w:gridCol w:w="74"/>
        <w:gridCol w:w="124"/>
        <w:gridCol w:w="298"/>
        <w:gridCol w:w="1075"/>
        <w:gridCol w:w="876"/>
        <w:gridCol w:w="805"/>
        <w:gridCol w:w="398"/>
        <w:gridCol w:w="199"/>
        <w:gridCol w:w="298"/>
        <w:gridCol w:w="812"/>
        <w:gridCol w:w="1684"/>
        <w:gridCol w:w="1684"/>
        <w:gridCol w:w="168"/>
        <w:gridCol w:w="29"/>
        <w:gridCol w:w="269"/>
        <w:gridCol w:w="987"/>
        <w:gridCol w:w="266"/>
      </w:tblGrid>
      <w:tr w:rsidR="0014693F" w:rsidRPr="00B542A6">
        <w:trPr>
          <w:trHeight w:hRule="exact" w:val="8"/>
        </w:trPr>
        <w:tc>
          <w:tcPr>
            <w:tcW w:w="426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  <w:bookmarkStart w:id="0" w:name="1"/>
            <w:bookmarkEnd w:id="0"/>
          </w:p>
        </w:tc>
        <w:tc>
          <w:tcPr>
            <w:tcW w:w="710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14693F" w:rsidRPr="00B542A6" w:rsidRDefault="0014693F">
            <w:pPr>
              <w:spacing w:after="0" w:line="238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28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B542A6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7"/>
        </w:trPr>
        <w:tc>
          <w:tcPr>
            <w:tcW w:w="5685" w:type="dxa"/>
            <w:gridSpan w:val="8"/>
            <w:vMerge w:val="restart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БЮДЖЕТНИЙ ЗАПИТ НА 2025–2027 РОКИ,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БЗ-2 (індивідуальна)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35" w:type="dxa"/>
            <w:gridSpan w:val="16"/>
            <w:vMerge w:val="restart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14"/>
        </w:trPr>
        <w:tc>
          <w:tcPr>
            <w:tcW w:w="5685" w:type="dxa"/>
            <w:gridSpan w:val="8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35" w:type="dxa"/>
            <w:gridSpan w:val="16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805"/>
        </w:trPr>
        <w:tc>
          <w:tcPr>
            <w:tcW w:w="42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40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Апарат Національного агентства з питань запобігання корупції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040" w:type="dxa"/>
            <w:gridSpan w:val="23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відповідального виконавця бюджетної програми 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29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6331030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,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0111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063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Реалізація антикорупційних стратегій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(КПКВК)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1432" w:type="dxa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(КФКВК)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063" w:type="dxa"/>
            <w:gridSpan w:val="17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бюджетної програми)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5826" w:type="dxa"/>
            <w:gridSpan w:val="10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з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14693F" w:rsidRPr="00567F98" w:rsidRDefault="003F644C">
            <w:pPr>
              <w:rPr>
                <w:lang w:val="uk-UA"/>
              </w:rPr>
            </w:pPr>
            <w:r w:rsidRPr="00567F98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gridSpan w:val="2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0" w:type="dxa"/>
            <w:gridSpan w:val="8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кредитів з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14693F" w:rsidRPr="00567F98" w:rsidRDefault="003F644C">
            <w:pPr>
              <w:rPr>
                <w:lang w:val="uk-UA"/>
              </w:rPr>
            </w:pPr>
            <w:r w:rsidRPr="00567F98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26"/>
        </w:trPr>
        <w:tc>
          <w:tcPr>
            <w:tcW w:w="42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Ціль державної політики, мета та завдання бюджетної програми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3.1. Ціль державної політики</w:t>
            </w:r>
          </w:p>
        </w:tc>
      </w:tr>
      <w:tr w:rsidR="0014693F" w:rsidRPr="00567F98">
        <w:trPr>
          <w:trHeight w:hRule="exact" w:val="627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Досягнення суттєвого прогресу в запобіганні та протидії корупції, а також забезпечення злагодженості та системності антикорупційної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 всіх органів державної влади та органів місцевого самоврядування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3.2. Мета бюджетної програми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реалізації Антикорупційної стратегії на 2021–2025 роки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3.3. Завдання бюджетної програми</w:t>
            </w:r>
          </w:p>
        </w:tc>
      </w:tr>
      <w:tr w:rsidR="0014693F" w:rsidRPr="00567F98">
        <w:trPr>
          <w:trHeight w:hRule="exact" w:val="627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 Забезпечення виконання заходів Державної антикорупційної програми на 2023–2025 роки, яка є інструментом реалізації Антикорупційної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стратегії на 2021–2025 роки</w:t>
            </w:r>
          </w:p>
        </w:tc>
      </w:tr>
      <w:tr w:rsidR="0014693F" w:rsidRPr="00567F98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Надходження для виконання бюджетної програми</w:t>
            </w: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4.1. Обсяги за видами надходжень</w:t>
            </w:r>
          </w:p>
        </w:tc>
      </w:tr>
      <w:tr w:rsidR="0014693F" w:rsidRPr="00567F98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14693F" w:rsidRPr="00567F98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14693F" w:rsidRPr="00567F98">
        <w:trPr>
          <w:trHeight w:hRule="exact" w:val="28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15 040,7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15 040,7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фонд,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 них: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9512" w:type="dxa"/>
            <w:gridSpan w:val="16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4.2. Підстави отримання надходжень спеціального фонду та обґрунтування їх обсягів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14693F" w:rsidRPr="00567F98" w:rsidRDefault="003F644C">
            <w:pPr>
              <w:rPr>
                <w:lang w:val="uk-UA"/>
              </w:rPr>
            </w:pPr>
            <w:r w:rsidRPr="00567F98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8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5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219"/>
        </w:trPr>
        <w:tc>
          <w:tcPr>
            <w:tcW w:w="42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1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8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43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14693F" w:rsidRPr="00567F98" w:rsidRDefault="003F644C">
      <w:pPr>
        <w:rPr>
          <w:sz w:val="0"/>
          <w:szCs w:val="0"/>
          <w:lang w:val="uk-UA"/>
        </w:rPr>
      </w:pPr>
      <w:r w:rsidRPr="00567F98">
        <w:rPr>
          <w:lang w:val="uk-UA"/>
        </w:rPr>
        <w:br w:type="page"/>
      </w:r>
    </w:p>
    <w:p w:rsidR="0014693F" w:rsidRPr="00567F98" w:rsidRDefault="0014693F">
      <w:pPr>
        <w:rPr>
          <w:lang w:val="uk-UA"/>
        </w:rPr>
        <w:sectPr w:rsidR="0014693F" w:rsidRPr="00567F9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84"/>
        <w:gridCol w:w="4654"/>
        <w:gridCol w:w="1096"/>
        <w:gridCol w:w="29"/>
        <w:gridCol w:w="1673"/>
        <w:gridCol w:w="398"/>
        <w:gridCol w:w="1313"/>
        <w:gridCol w:w="1704"/>
        <w:gridCol w:w="1704"/>
        <w:gridCol w:w="197"/>
        <w:gridCol w:w="253"/>
        <w:gridCol w:w="1006"/>
        <w:gridCol w:w="253"/>
      </w:tblGrid>
      <w:tr w:rsidR="0014693F" w:rsidRPr="00567F98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1" w:name="2"/>
            <w:bookmarkEnd w:id="1"/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Видатки за кодами економічної класифікації видатків бюджету</w:t>
            </w:r>
          </w:p>
        </w:tc>
      </w:tr>
      <w:tr w:rsidR="0014693F" w:rsidRPr="00567F98">
        <w:trPr>
          <w:trHeight w:hRule="exact" w:val="142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vMerge w:val="restart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7244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5.1 Видатки</w:t>
            </w:r>
          </w:p>
        </w:tc>
        <w:tc>
          <w:tcPr>
            <w:tcW w:w="1687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13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7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7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14693F" w:rsidRPr="00567F98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2240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1 740,7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1 740,7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13 300,0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13 300,0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15 040,7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15 040,7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567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5.2 Пояснення щодо запропонованих змін у структурі видатків та впливу цих змін на результативні показники, досягнення мети, виконання завдань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бюджетної програми.</w:t>
            </w:r>
          </w:p>
        </w:tc>
      </w:tr>
      <w:tr w:rsidR="0014693F" w:rsidRPr="00567F98">
        <w:trPr>
          <w:trHeight w:hRule="exact" w:val="1455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B542A6" w:rsidP="005424FD">
            <w:pPr>
              <w:spacing w:after="0" w:line="240" w:lineRule="auto"/>
              <w:ind w:left="28" w:right="28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 показала практика виконання заходів Державної антикорупційної програми на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2023–2025 роки (далі – ДАП) у період з 2023 року і дотепер, завдання цієї бюджетної програми (забезпечення виконання заходів Державної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антикорупційної програми на 2023–2025 роки, яка є інструментом реалізації Антикорупційної стратегії на 2021–2025 роки) може </w:t>
            </w:r>
            <w:r w:rsidR="00BC7BF2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бути реалізованим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із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залученням інших фінансових ресурсів.</w:t>
            </w:r>
          </w:p>
        </w:tc>
      </w:tr>
      <w:tr w:rsidR="0014693F" w:rsidRPr="00567F98">
        <w:trPr>
          <w:trHeight w:hRule="exact" w:val="627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5424FD" w:rsidP="005424FD">
            <w:pPr>
              <w:spacing w:after="0" w:line="240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ереважна </w:t>
            </w:r>
            <w:r w:rsidR="003F644C" w:rsidRPr="00567F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заходів ДАП впроваджується відповідними державними органами, визначеними відповідальними за їх виконання,</w:t>
            </w:r>
            <w:r w:rsidR="00B542A6" w:rsidRPr="00567F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644C" w:rsidRPr="00567F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межах передбачених </w:t>
            </w:r>
            <w:r w:rsidR="00826116" w:rsidRPr="00567F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їм</w:t>
            </w:r>
            <w:r w:rsidR="003F644C" w:rsidRPr="00567F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бюджетних 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призначень на відповідний рік або із залученням інших джерел фінансування.</w:t>
            </w:r>
          </w:p>
        </w:tc>
      </w:tr>
      <w:tr w:rsidR="0014693F" w:rsidRPr="00567F98">
        <w:trPr>
          <w:trHeight w:hRule="exact" w:val="903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 w:rsidP="005424FD">
            <w:pPr>
              <w:spacing w:after="0" w:line="240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Відповідно, ціль зазначеної бюджетної програми (досягнення суттєвого прогресу в запобіганні та протидії корупції, а також забезпечення</w:t>
            </w:r>
            <w:r w:rsidR="00B542A6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злагодженості та системності антикорупційної діяльності всіх органів державної влади та органів місцевого самоврядування) та її мета щодо</w:t>
            </w:r>
            <w:r w:rsidR="00B542A6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реалізації Антикорупційної стратегії на 2021–2025 роки на сьогодні не потребують окремої бюджетної програми</w:t>
            </w:r>
            <w:r w:rsidR="00B542A6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2025–2027 роки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27"/>
        </w:trPr>
        <w:tc>
          <w:tcPr>
            <w:tcW w:w="113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7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7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14693F" w:rsidRPr="00567F98" w:rsidRDefault="003F644C">
      <w:pPr>
        <w:rPr>
          <w:sz w:val="0"/>
          <w:szCs w:val="0"/>
          <w:lang w:val="uk-UA"/>
        </w:rPr>
      </w:pPr>
      <w:r w:rsidRPr="00567F98">
        <w:rPr>
          <w:lang w:val="uk-UA"/>
        </w:rPr>
        <w:br w:type="page"/>
      </w:r>
    </w:p>
    <w:p w:rsidR="0014693F" w:rsidRPr="00567F98" w:rsidRDefault="0014693F">
      <w:pPr>
        <w:rPr>
          <w:lang w:val="uk-UA"/>
        </w:rPr>
        <w:sectPr w:rsidR="0014693F" w:rsidRPr="00567F9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284"/>
        <w:gridCol w:w="4656"/>
        <w:gridCol w:w="1096"/>
        <w:gridCol w:w="1703"/>
        <w:gridCol w:w="398"/>
        <w:gridCol w:w="1314"/>
        <w:gridCol w:w="1704"/>
        <w:gridCol w:w="1704"/>
        <w:gridCol w:w="198"/>
        <w:gridCol w:w="1508"/>
      </w:tblGrid>
      <w:tr w:rsidR="0014693F" w:rsidRPr="00567F98" w:rsidTr="005D7FC3">
        <w:trPr>
          <w:trHeight w:hRule="exact" w:val="284"/>
        </w:trPr>
        <w:tc>
          <w:tcPr>
            <w:tcW w:w="1141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2" w:name="3"/>
            <w:bookmarkEnd w:id="2"/>
          </w:p>
        </w:tc>
        <w:tc>
          <w:tcPr>
            <w:tcW w:w="6036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84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Напрями використання бюджетних коштів та обґрунтування їх розподілу</w:t>
            </w:r>
          </w:p>
        </w:tc>
      </w:tr>
      <w:tr w:rsidR="0014693F" w:rsidRPr="00567F98" w:rsidTr="005D7FC3">
        <w:trPr>
          <w:trHeight w:hRule="exact" w:val="283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6.1 Видатки за напрямами використання бюджетних коштів</w:t>
            </w:r>
          </w:p>
        </w:tc>
      </w:tr>
      <w:tr w:rsidR="0014693F" w:rsidRPr="00567F98" w:rsidTr="005D7FC3">
        <w:trPr>
          <w:trHeight w:hRule="exact" w:val="284"/>
        </w:trPr>
        <w:tc>
          <w:tcPr>
            <w:tcW w:w="1141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036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14693F" w:rsidRPr="00567F98" w:rsidTr="005D7FC3">
        <w:trPr>
          <w:trHeight w:hRule="exact" w:val="530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14693F" w:rsidRPr="00567F98" w:rsidTr="005D7FC3">
        <w:trPr>
          <w:trHeight w:hRule="exact" w:val="284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14693F" w:rsidRPr="00567F98" w:rsidTr="005D7FC3">
        <w:trPr>
          <w:trHeight w:hRule="exact" w:val="530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Закупівля послуг з організації проведення досліджень з питань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ситуації щодо корупції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1 740,7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91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1 740,7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300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91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Нерозподілені видатки (до нормативного врегулювання)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13 300,0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91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13 300,0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300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91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15 040,7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91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1 727,9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15 040,7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300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спеціальний фонд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284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 w:rsidTr="005D7FC3">
        <w:trPr>
          <w:trHeight w:hRule="exact" w:val="567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6.2 Пояснення щодо запропонованих змін у структурі видатків за напрямами використання бюджетних коштів та впливу цих змін на результативні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показники, досягнення мети, виконання завдань бюджетної програми</w:t>
            </w:r>
          </w:p>
        </w:tc>
      </w:tr>
      <w:tr w:rsidR="0014693F" w:rsidRPr="00567F98" w:rsidTr="005D7FC3">
        <w:trPr>
          <w:trHeight w:hRule="exact" w:val="1179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 w:rsidP="005D7FC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бюджетною програмою КПКВК 6331030 «Реалізація антикорупційних стратегій» здійсн</w:t>
            </w:r>
            <w:r w:rsidR="00243A3A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ено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 та планується здійснити у 2024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році видатки відповідно до п. 5 ч. 1 ст. 11 Закону України «Про запобігання корупції» на проведення досліджень з питань вивчення ситуації щодо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корупції за Методикою стандартного опитування щодо корупції в Україні, затвердженою наказом Національного агентства з питань запобігання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корупції від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30.12.2021 № 842/21 (зі змінами).</w:t>
            </w:r>
          </w:p>
        </w:tc>
      </w:tr>
      <w:tr w:rsidR="0014693F" w:rsidRPr="00567F98" w:rsidTr="005D7FC3">
        <w:trPr>
          <w:trHeight w:hRule="exact" w:val="1179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 w:rsidP="005D7FC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Враховуючи те, що </w:t>
            </w:r>
            <w:r w:rsidR="00B75A04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більшість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заходів ДАП впроваджується відповідними державними органами, визначеними відповідальними за їх</w:t>
            </w:r>
            <w:r w:rsidR="00B75A04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виконання, в межах передбачених </w:t>
            </w:r>
            <w:r w:rsidR="00826116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їм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бюджетних призначень на відповідний рік або із залученням інших джерел фінансування, забезпечення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реалізації Антикорупційної стратегії на 2021–2025 роки на сьогодні не потребує окремої бюджетної програми. Відповідно, </w:t>
            </w:r>
            <w:r w:rsidR="005424FD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2025–2027 роки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видатки Національному агентству </w:t>
            </w:r>
            <w:r w:rsidR="005424FD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r w:rsidR="003073A4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цією</w:t>
            </w:r>
            <w:r w:rsidR="005424FD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бюджетною програмою не </w:t>
            </w:r>
            <w:r w:rsidR="005424FD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передбачені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4693F" w:rsidRPr="00567F98" w:rsidTr="005D7FC3">
        <w:trPr>
          <w:trHeight w:hRule="exact" w:val="627"/>
        </w:trPr>
        <w:tc>
          <w:tcPr>
            <w:tcW w:w="15706" w:type="dxa"/>
            <w:gridSpan w:val="11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 w:rsidP="005D7FC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Дослідження з питань вивчення ситуації щодо корупції за Методикою стандартного опитування щодо корупції в Україні може </w:t>
            </w:r>
            <w:r w:rsidR="0093294D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проводитись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із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залученням інших джерел фінансування.</w:t>
            </w:r>
          </w:p>
        </w:tc>
      </w:tr>
      <w:tr w:rsidR="0014693F" w:rsidRPr="00567F98" w:rsidTr="005D7FC3">
        <w:trPr>
          <w:trHeight w:hRule="exact" w:val="370"/>
        </w:trPr>
        <w:tc>
          <w:tcPr>
            <w:tcW w:w="11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9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1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 w:rsidTr="005D7FC3">
        <w:trPr>
          <w:trHeight w:hRule="exact" w:val="284"/>
        </w:trPr>
        <w:tc>
          <w:tcPr>
            <w:tcW w:w="1425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56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20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0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14693F" w:rsidRPr="00567F98" w:rsidRDefault="003F644C">
      <w:pPr>
        <w:rPr>
          <w:sz w:val="0"/>
          <w:szCs w:val="0"/>
          <w:lang w:val="uk-UA"/>
        </w:rPr>
      </w:pPr>
      <w:r w:rsidRPr="00567F98">
        <w:rPr>
          <w:lang w:val="uk-UA"/>
        </w:rPr>
        <w:br w:type="page"/>
      </w:r>
    </w:p>
    <w:p w:rsidR="0014693F" w:rsidRPr="00567F98" w:rsidRDefault="0014693F">
      <w:pPr>
        <w:rPr>
          <w:lang w:val="uk-UA"/>
        </w:rPr>
        <w:sectPr w:rsidR="0014693F" w:rsidRPr="00567F9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41"/>
        <w:gridCol w:w="557"/>
        <w:gridCol w:w="282"/>
        <w:gridCol w:w="3360"/>
        <w:gridCol w:w="697"/>
        <w:gridCol w:w="212"/>
        <w:gridCol w:w="336"/>
        <w:gridCol w:w="29"/>
        <w:gridCol w:w="298"/>
        <w:gridCol w:w="256"/>
        <w:gridCol w:w="562"/>
        <w:gridCol w:w="349"/>
        <w:gridCol w:w="908"/>
        <w:gridCol w:w="447"/>
        <w:gridCol w:w="398"/>
        <w:gridCol w:w="69"/>
        <w:gridCol w:w="916"/>
        <w:gridCol w:w="338"/>
        <w:gridCol w:w="573"/>
        <w:gridCol w:w="908"/>
        <w:gridCol w:w="225"/>
        <w:gridCol w:w="684"/>
        <w:gridCol w:w="908"/>
        <w:gridCol w:w="113"/>
        <w:gridCol w:w="197"/>
        <w:gridCol w:w="600"/>
        <w:gridCol w:w="908"/>
      </w:tblGrid>
      <w:tr w:rsidR="0014693F" w:rsidRPr="00567F98">
        <w:trPr>
          <w:trHeight w:hRule="exact" w:val="903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6E3AC7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bookmarkStart w:id="3" w:name="4"/>
            <w:bookmarkEnd w:id="3"/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 огляду на те</w:t>
            </w:r>
            <w:r w:rsidR="003F644C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що бюджетна програма КПКВК 6331030 «Реалізація антикорупційних стратегій» у проекті закону про Державний бюджет України на 2025 рік не передбачена, Порядок використання коштів, передбачених у державному бюджеті на здійснення заходів з реалізації антикорупційних стратегій, затверджений постановою Кабінету Міністрів України від 15.09.2023 № 993, з 2025 року втратить свою актуальність.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sz w:val="24"/>
                <w:szCs w:val="24"/>
                <w:lang w:val="uk-UA"/>
              </w:rPr>
              <w:t> 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47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 Результативні показники бюджетної програми</w:t>
            </w:r>
          </w:p>
        </w:tc>
      </w:tr>
      <w:tr w:rsidR="0014693F" w:rsidRPr="00567F98">
        <w:trPr>
          <w:trHeight w:hRule="exact" w:val="284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7.1 Результативні показники</w:t>
            </w:r>
          </w:p>
        </w:tc>
      </w:tr>
      <w:tr w:rsidR="0014693F" w:rsidRPr="00567F98">
        <w:trPr>
          <w:trHeight w:hRule="exact" w:val="530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Одиниця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14693F" w:rsidRPr="00567F98" w:rsidRDefault="003F644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14693F" w:rsidRPr="00567F98">
        <w:trPr>
          <w:trHeight w:hRule="exact" w:val="283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14693F" w:rsidRPr="00567F98">
        <w:trPr>
          <w:trHeight w:hRule="exact" w:val="37"/>
        </w:trPr>
        <w:tc>
          <w:tcPr>
            <w:tcW w:w="42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0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8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9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316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продукту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14693F" w:rsidRPr="00567F98">
        <w:trPr>
          <w:trHeight w:hRule="exact" w:val="530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досліджень, проведених за Методикою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стандартного опитування щодо корупції в Україні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316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якості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14693F" w:rsidRPr="00567F98">
        <w:trPr>
          <w:trHeight w:hRule="exact" w:val="990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Оцінка населенням ефективності (результативності)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антикорупційної діяльності Національного агентства з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питань запобігання корупції (за 5-ти бальною шкалою)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2,1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990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Оцінка представниками бізнесу ефективності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(результативності) антикорупційної діяльності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Національного агентства з питань запобігання корупції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 5-ти бальною шкалою)</w:t>
            </w:r>
          </w:p>
        </w:tc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2,5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2,7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7.2 Пояснення щодо динаміки результативних показників та досягнення мети, виконання завдань бюджетної програми</w:t>
            </w:r>
          </w:p>
        </w:tc>
      </w:tr>
      <w:tr w:rsidR="0014693F" w:rsidRPr="00567F98">
        <w:trPr>
          <w:trHeight w:hRule="exact" w:val="627"/>
        </w:trPr>
        <w:tc>
          <w:tcPr>
            <w:tcW w:w="15720" w:type="dxa"/>
            <w:gridSpan w:val="28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 w:rsidP="005D7FC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Враховуючи те, що забезпечення реалізації Антикорупційної стратегії на 2021–2025 роки на сьогодні не потребує окремої бюджетної програми,</w:t>
            </w:r>
            <w:r w:rsidR="005D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результативні показники за бюджетною програмою КПКВК 6331030</w:t>
            </w:r>
            <w:bookmarkStart w:id="4" w:name="_GoBack"/>
            <w:bookmarkEnd w:id="4"/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«Реалізація антикорупційних стратегій» на 2025–2027 роки не визначалися.</w:t>
            </w:r>
          </w:p>
        </w:tc>
      </w:tr>
      <w:tr w:rsidR="0014693F" w:rsidRPr="00567F98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6110" w:type="dxa"/>
            <w:gridSpan w:val="9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 Чисельність працівників у бюджетних установах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14693F" w:rsidRPr="00567F98" w:rsidRDefault="003F644C">
            <w:pPr>
              <w:rPr>
                <w:lang w:val="uk-UA"/>
              </w:rPr>
            </w:pPr>
            <w:r w:rsidRPr="00567F98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gridSpan w:val="7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118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213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428"/>
        </w:trPr>
        <w:tc>
          <w:tcPr>
            <w:tcW w:w="42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0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4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81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9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0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43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14693F" w:rsidRPr="00567F98" w:rsidRDefault="003F644C">
      <w:pPr>
        <w:rPr>
          <w:sz w:val="0"/>
          <w:szCs w:val="0"/>
          <w:lang w:val="uk-UA"/>
        </w:rPr>
      </w:pPr>
      <w:r w:rsidRPr="00567F98">
        <w:rPr>
          <w:lang w:val="uk-UA"/>
        </w:rPr>
        <w:br w:type="page"/>
      </w:r>
    </w:p>
    <w:p w:rsidR="0014693F" w:rsidRPr="00567F98" w:rsidRDefault="0014693F">
      <w:pPr>
        <w:rPr>
          <w:lang w:val="uk-UA"/>
        </w:rPr>
        <w:sectPr w:rsidR="0014693F" w:rsidRPr="00567F9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10"/>
        <w:gridCol w:w="704"/>
        <w:gridCol w:w="142"/>
        <w:gridCol w:w="143"/>
        <w:gridCol w:w="143"/>
        <w:gridCol w:w="643"/>
        <w:gridCol w:w="3162"/>
        <w:gridCol w:w="563"/>
        <w:gridCol w:w="142"/>
        <w:gridCol w:w="142"/>
        <w:gridCol w:w="142"/>
        <w:gridCol w:w="298"/>
        <w:gridCol w:w="534"/>
        <w:gridCol w:w="1696"/>
        <w:gridCol w:w="29"/>
        <w:gridCol w:w="228"/>
        <w:gridCol w:w="70"/>
        <w:gridCol w:w="86"/>
        <w:gridCol w:w="1294"/>
        <w:gridCol w:w="1700"/>
        <w:gridCol w:w="1699"/>
        <w:gridCol w:w="58"/>
        <w:gridCol w:w="141"/>
        <w:gridCol w:w="192"/>
        <w:gridCol w:w="1165"/>
        <w:gridCol w:w="155"/>
      </w:tblGrid>
      <w:tr w:rsidR="0014693F" w:rsidRPr="00567F98">
        <w:trPr>
          <w:trHeight w:hRule="exact" w:val="284"/>
        </w:trPr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5" w:name="5"/>
            <w:bookmarkEnd w:id="5"/>
          </w:p>
        </w:tc>
        <w:tc>
          <w:tcPr>
            <w:tcW w:w="6081" w:type="dxa"/>
            <w:gridSpan w:val="11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8945" w:type="dxa"/>
            <w:gridSpan w:val="16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 Державні цільові програми, які виконуються в межах бюджетної програми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14693F" w:rsidRPr="00567F98" w:rsidRDefault="003F644C">
            <w:pPr>
              <w:rPr>
                <w:lang w:val="uk-UA"/>
              </w:rPr>
            </w:pPr>
            <w:r w:rsidRPr="00567F98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gridSpan w:val="9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440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76" w:type="dxa"/>
            <w:gridSpan w:val="6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1829" w:type="dxa"/>
            <w:gridSpan w:val="6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6393" w:type="dxa"/>
            <w:gridSpan w:val="12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 Інформація про огляд витрат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14693F" w:rsidRPr="00567F98" w:rsidRDefault="003F644C">
            <w:pPr>
              <w:rPr>
                <w:lang w:val="uk-UA"/>
              </w:rPr>
            </w:pPr>
            <w:r w:rsidRPr="00567F98">
              <w:rPr>
                <w:noProof/>
                <w:lang w:val="uk-UA"/>
              </w:rPr>
              <w:drawing>
                <wp:inline distT="0" distB="0" distL="0" distR="0">
                  <wp:extent cx="180000" cy="18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  <w:gridSpan w:val="14"/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440" w:type="dxa"/>
            <w:gridSpan w:val="2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826" w:type="dxa"/>
            <w:gridSpan w:val="9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after="0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підлягає заповненню</w:t>
            </w:r>
          </w:p>
        </w:tc>
        <w:tc>
          <w:tcPr>
            <w:tcW w:w="9483" w:type="dxa"/>
            <w:gridSpan w:val="16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 Підстави реалізації бюджетної програми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Закон України «Про запобігання корупції»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Закон України «Про засади державної антикорупційної політики на 2021-2025 роки»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Указ Президента України від 30.09.2019 № 722/2019 «Про Цілі сталого розвитку України на період до 2030 року»</w:t>
            </w:r>
          </w:p>
        </w:tc>
      </w:tr>
      <w:tr w:rsidR="0014693F" w:rsidRPr="00567F98">
        <w:trPr>
          <w:trHeight w:hRule="exact" w:val="627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Постанова Кабінету Міністрів України від 20.05.2020 № 458 «Про затвердження критеріїв та Методики проведення оцінювання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ефективності діяльності Національного агентства з питань запобігання корупції»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Постанова Кабінету Міністрів України від 12.06.2020 № 471 «Про затвердження Програми діяльності Кабінету Міністрів України»</w:t>
            </w:r>
          </w:p>
        </w:tc>
      </w:tr>
      <w:tr w:rsidR="0014693F" w:rsidRPr="00567F98">
        <w:trPr>
          <w:trHeight w:hRule="exact" w:val="341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Постанова Кабінету Міністрів України від 04.03.2023 № 220 «Про затвердження Державної антикорупційної програми на 2023-2025 роки»</w:t>
            </w:r>
          </w:p>
        </w:tc>
      </w:tr>
      <w:tr w:rsidR="0014693F" w:rsidRPr="00567F98">
        <w:trPr>
          <w:trHeight w:hRule="exact" w:val="627"/>
        </w:trPr>
        <w:tc>
          <w:tcPr>
            <w:tcW w:w="15720" w:type="dxa"/>
            <w:gridSpan w:val="27"/>
            <w:tcMar>
              <w:left w:w="34" w:type="dxa"/>
              <w:right w:w="34" w:type="dxa"/>
            </w:tcMar>
            <w:vAlign w:val="center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 Постанова Кабінету Міністрів України від 15.09.2023 № 993 «Про затвердження Порядку використання коштів, передбачених у державному</w:t>
            </w:r>
            <w:r w:rsidRPr="00567F98">
              <w:rPr>
                <w:lang w:val="uk-UA"/>
              </w:rPr>
              <w:br/>
            </w: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бюджеті на здійснення заходів з реалізації антикорупційних стратегій»</w:t>
            </w:r>
          </w:p>
        </w:tc>
      </w:tr>
      <w:tr w:rsidR="0014693F" w:rsidRPr="00567F98">
        <w:trPr>
          <w:trHeight w:hRule="exact" w:val="1134"/>
        </w:trPr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18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4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290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gridSpan w:val="8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19" w:type="dxa"/>
            <w:gridSpan w:val="6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dxa"/>
            <w:vMerge w:val="restart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14693F" w:rsidRPr="00567F98">
        <w:trPr>
          <w:trHeight w:hRule="exact" w:val="341"/>
        </w:trPr>
        <w:tc>
          <w:tcPr>
            <w:tcW w:w="1290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  <w:gridSpan w:val="5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В.о. Голови </w:t>
            </w:r>
            <w:r w:rsidR="001C0ADE"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агентства</w:t>
            </w:r>
          </w:p>
        </w:tc>
        <w:tc>
          <w:tcPr>
            <w:tcW w:w="321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19" w:type="dxa"/>
            <w:gridSpan w:val="6"/>
            <w:tcMar>
              <w:left w:w="34" w:type="dxa"/>
              <w:right w:w="34" w:type="dxa"/>
            </w:tcMar>
            <w:vAlign w:val="bottom"/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Микола КОРНЕЛЮК</w:t>
            </w: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3"/>
        </w:trPr>
        <w:tc>
          <w:tcPr>
            <w:tcW w:w="1290" w:type="dxa"/>
            <w:gridSpan w:val="4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  <w:gridSpan w:val="5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gridSpan w:val="8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4919" w:type="dxa"/>
            <w:gridSpan w:val="6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567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(Власне ім’я ПРІЗВИЩЕ)</w:t>
            </w: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1266"/>
        </w:trPr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18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4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284"/>
        </w:trPr>
        <w:tc>
          <w:tcPr>
            <w:tcW w:w="1432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92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4693F" w:rsidRPr="00567F98" w:rsidRDefault="0014693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4693F" w:rsidRPr="00567F98">
        <w:trPr>
          <w:trHeight w:hRule="exact" w:val="45"/>
        </w:trPr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47" w:type="dxa"/>
            <w:gridSpan w:val="5"/>
            <w:vMerge w:val="restart"/>
            <w:tcMar>
              <w:left w:w="4" w:type="dxa"/>
              <w:right w:w="4" w:type="dxa"/>
            </w:tcMar>
          </w:tcPr>
          <w:p w:rsidR="0014693F" w:rsidRPr="00567F98" w:rsidRDefault="0014693F">
            <w:pPr>
              <w:rPr>
                <w:lang w:val="uk-UA"/>
              </w:rPr>
            </w:pPr>
          </w:p>
        </w:tc>
        <w:tc>
          <w:tcPr>
            <w:tcW w:w="64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18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6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4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6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1287"/>
        </w:trPr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47" w:type="dxa"/>
            <w:gridSpan w:val="5"/>
            <w:vMerge/>
            <w:tcMar>
              <w:left w:w="4" w:type="dxa"/>
              <w:right w:w="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205" w:type="dxa"/>
            <w:gridSpan w:val="18"/>
            <w:vMerge w:val="restart"/>
            <w:tcMar>
              <w:left w:w="34" w:type="dxa"/>
              <w:right w:w="34" w:type="dxa"/>
            </w:tcMar>
          </w:tcPr>
          <w:p w:rsidR="0014693F" w:rsidRPr="00567F98" w:rsidRDefault="003F644C">
            <w:pPr>
              <w:spacing w:after="0" w:line="238" w:lineRule="auto"/>
              <w:ind w:left="30" w:right="30"/>
              <w:rPr>
                <w:sz w:val="16"/>
                <w:szCs w:val="16"/>
                <w:lang w:val="uk-UA"/>
              </w:rPr>
            </w:pPr>
            <w:r w:rsidRPr="00567F98">
              <w:rPr>
                <w:lang w:val="uk-UA"/>
              </w:rPr>
              <w:t xml:space="preserve"> </w:t>
            </w:r>
          </w:p>
        </w:tc>
        <w:tc>
          <w:tcPr>
            <w:tcW w:w="11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14693F" w:rsidRPr="00567F98">
        <w:trPr>
          <w:trHeight w:hRule="exact" w:val="56"/>
        </w:trPr>
        <w:tc>
          <w:tcPr>
            <w:tcW w:w="228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10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205" w:type="dxa"/>
            <w:gridSpan w:val="18"/>
            <w:vMerge/>
            <w:tcMar>
              <w:left w:w="34" w:type="dxa"/>
              <w:right w:w="34" w:type="dxa"/>
            </w:tcMar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69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14693F" w:rsidRPr="00567F98" w:rsidRDefault="0014693F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14693F" w:rsidRPr="00B542A6" w:rsidRDefault="003F644C">
      <w:pPr>
        <w:rPr>
          <w:lang w:val="uk-UA"/>
        </w:rPr>
      </w:pPr>
      <w:r w:rsidRPr="00567F98">
        <w:rPr>
          <w:color w:val="FFFFFF"/>
          <w:sz w:val="2"/>
          <w:szCs w:val="2"/>
          <w:lang w:val="uk-UA"/>
        </w:rPr>
        <w:t>.</w:t>
      </w:r>
    </w:p>
    <w:sectPr w:rsidR="0014693F" w:rsidRPr="00B542A6">
      <w:pgSz w:w="16840" w:h="11907" w:orient="landscape"/>
      <w:pgMar w:top="106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4693F"/>
    <w:rsid w:val="001C0ADE"/>
    <w:rsid w:val="001F0BC7"/>
    <w:rsid w:val="00243A3A"/>
    <w:rsid w:val="003073A4"/>
    <w:rsid w:val="003F644C"/>
    <w:rsid w:val="0042646D"/>
    <w:rsid w:val="005424FD"/>
    <w:rsid w:val="00567F98"/>
    <w:rsid w:val="005D7FC3"/>
    <w:rsid w:val="005F3DE6"/>
    <w:rsid w:val="00632A0E"/>
    <w:rsid w:val="006E3AC7"/>
    <w:rsid w:val="00826116"/>
    <w:rsid w:val="008C08F1"/>
    <w:rsid w:val="008D0F41"/>
    <w:rsid w:val="0093294D"/>
    <w:rsid w:val="00AD5C6F"/>
    <w:rsid w:val="00B542A6"/>
    <w:rsid w:val="00B54327"/>
    <w:rsid w:val="00B75A04"/>
    <w:rsid w:val="00BC7BF2"/>
    <w:rsid w:val="00BF2780"/>
    <w:rsid w:val="00D31453"/>
    <w:rsid w:val="00D34C5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786DB"/>
  <w15:docId w15:val="{ACC25975-5A61-499D-AC5D-33133915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2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esop_forms_n207_bz2</vt:lpstr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esop_forms_n207_bz2</dc:title>
  <dc:creator>FastReport.NET</dc:creator>
  <cp:lastModifiedBy>Цибульська Анна Віталіївна</cp:lastModifiedBy>
  <cp:revision>5</cp:revision>
  <cp:lastPrinted>2024-09-18T11:12:00Z</cp:lastPrinted>
  <dcterms:created xsi:type="dcterms:W3CDTF">2024-09-16T09:16:00Z</dcterms:created>
  <dcterms:modified xsi:type="dcterms:W3CDTF">2024-09-18T11:14:00Z</dcterms:modified>
</cp:coreProperties>
</file>